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AD54" w14:textId="22C05EE9" w:rsidR="000741FC" w:rsidRPr="000741FC" w:rsidRDefault="000741FC" w:rsidP="000741FC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présente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la solution de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guidage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Value Line,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apportant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une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technologie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de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précision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abordable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aux petites et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moyennes</w:t>
      </w:r>
      <w:proofErr w:type="spellEnd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 xml:space="preserve"> exploitations </w:t>
      </w:r>
      <w:proofErr w:type="spellStart"/>
      <w:r w:rsidRPr="000741FC">
        <w:rPr>
          <w:rFonts w:ascii="Arial" w:hAnsi="Arial" w:cs="Arial"/>
          <w:b/>
          <w:bCs/>
          <w:color w:val="007DC5"/>
          <w:sz w:val="28"/>
          <w:szCs w:val="28"/>
        </w:rPr>
        <w:t>agricoles</w:t>
      </w:r>
      <w:proofErr w:type="spellEnd"/>
    </w:p>
    <w:p w14:paraId="5B9F5E1D" w14:textId="20034E0B" w:rsidR="000C73C1" w:rsidRPr="00922DA9" w:rsidRDefault="000741FC" w:rsidP="000C73C1">
      <w:pPr>
        <w:jc w:val="center"/>
        <w:rPr>
          <w:rFonts w:ascii="Arial" w:hAnsi="Arial" w:cs="Arial"/>
          <w:i/>
          <w:iCs/>
        </w:rPr>
      </w:pPr>
      <w:r w:rsidRPr="000741FC">
        <w:rPr>
          <w:rFonts w:ascii="Arial" w:hAnsi="Arial" w:cs="Arial"/>
          <w:i/>
          <w:iCs/>
        </w:rPr>
        <w:t xml:space="preserve">Le nouveau </w:t>
      </w:r>
      <w:proofErr w:type="spellStart"/>
      <w:r w:rsidRPr="000741FC">
        <w:rPr>
          <w:rFonts w:ascii="Arial" w:hAnsi="Arial" w:cs="Arial"/>
          <w:i/>
          <w:iCs/>
        </w:rPr>
        <w:t>système</w:t>
      </w:r>
      <w:proofErr w:type="spellEnd"/>
      <w:r w:rsidRPr="000741FC">
        <w:rPr>
          <w:rFonts w:ascii="Arial" w:hAnsi="Arial" w:cs="Arial"/>
          <w:i/>
          <w:iCs/>
        </w:rPr>
        <w:t xml:space="preserve"> </w:t>
      </w:r>
      <w:proofErr w:type="spellStart"/>
      <w:r w:rsidRPr="000741FC">
        <w:rPr>
          <w:rFonts w:ascii="Arial" w:hAnsi="Arial" w:cs="Arial"/>
          <w:i/>
          <w:iCs/>
        </w:rPr>
        <w:t>d'autoguidage</w:t>
      </w:r>
      <w:proofErr w:type="spellEnd"/>
      <w:r w:rsidRPr="000741FC">
        <w:rPr>
          <w:rFonts w:ascii="Arial" w:hAnsi="Arial" w:cs="Arial"/>
          <w:i/>
          <w:iCs/>
        </w:rPr>
        <w:t xml:space="preserve"> </w:t>
      </w:r>
      <w:proofErr w:type="spellStart"/>
      <w:r w:rsidRPr="000741FC">
        <w:rPr>
          <w:rFonts w:ascii="Arial" w:hAnsi="Arial" w:cs="Arial"/>
          <w:i/>
          <w:iCs/>
        </w:rPr>
        <w:t>démocratise</w:t>
      </w:r>
      <w:proofErr w:type="spellEnd"/>
      <w:r w:rsidRPr="000741FC">
        <w:rPr>
          <w:rFonts w:ascii="Arial" w:hAnsi="Arial" w:cs="Arial"/>
          <w:i/>
          <w:iCs/>
        </w:rPr>
        <w:t xml:space="preserve"> </w:t>
      </w:r>
      <w:proofErr w:type="spellStart"/>
      <w:r w:rsidRPr="000741FC">
        <w:rPr>
          <w:rFonts w:ascii="Arial" w:hAnsi="Arial" w:cs="Arial"/>
          <w:i/>
          <w:iCs/>
        </w:rPr>
        <w:t>l'accès</w:t>
      </w:r>
      <w:proofErr w:type="spellEnd"/>
      <w:r w:rsidRPr="000741FC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br/>
      </w:r>
      <w:r w:rsidRPr="000741FC">
        <w:rPr>
          <w:rFonts w:ascii="Arial" w:hAnsi="Arial" w:cs="Arial"/>
          <w:i/>
          <w:iCs/>
        </w:rPr>
        <w:t xml:space="preserve">aux technologies </w:t>
      </w:r>
      <w:proofErr w:type="spellStart"/>
      <w:r w:rsidRPr="000741FC">
        <w:rPr>
          <w:rFonts w:ascii="Arial" w:hAnsi="Arial" w:cs="Arial"/>
          <w:i/>
          <w:iCs/>
        </w:rPr>
        <w:t>agricoles</w:t>
      </w:r>
      <w:proofErr w:type="spellEnd"/>
      <w:r w:rsidRPr="000741FC">
        <w:rPr>
          <w:rFonts w:ascii="Arial" w:hAnsi="Arial" w:cs="Arial"/>
          <w:i/>
          <w:iCs/>
        </w:rPr>
        <w:t xml:space="preserve"> </w:t>
      </w:r>
      <w:proofErr w:type="spellStart"/>
      <w:r w:rsidRPr="000741FC">
        <w:rPr>
          <w:rFonts w:ascii="Arial" w:hAnsi="Arial" w:cs="Arial"/>
          <w:i/>
          <w:iCs/>
        </w:rPr>
        <w:t>avancées</w:t>
      </w:r>
      <w:proofErr w:type="spellEnd"/>
    </w:p>
    <w:p w14:paraId="245A0A61" w14:textId="77777777" w:rsidR="000741FC" w:rsidRDefault="000741FC" w:rsidP="000741FC">
      <w:pPr>
        <w:rPr>
          <w:rFonts w:ascii="Arial" w:hAnsi="Arial" w:cs="Arial"/>
          <w:sz w:val="22"/>
          <w:szCs w:val="22"/>
        </w:rPr>
      </w:pPr>
    </w:p>
    <w:p w14:paraId="21DC1B8A" w14:textId="6DF3D455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</w:t>
      </w:r>
      <w:proofErr w:type="spellStart"/>
      <w:r w:rsidRPr="000741FC">
        <w:rPr>
          <w:rFonts w:ascii="Arial" w:hAnsi="Arial" w:cs="Arial"/>
          <w:i/>
          <w:iCs/>
          <w:color w:val="2D2D2D"/>
          <w:sz w:val="22"/>
          <w:szCs w:val="22"/>
        </w:rPr>
        <w:t>Californie</w:t>
      </w:r>
      <w:proofErr w:type="spellEnd"/>
      <w:r w:rsidRPr="000741FC">
        <w:rPr>
          <w:rFonts w:ascii="Arial" w:hAnsi="Arial" w:cs="Arial"/>
          <w:i/>
          <w:iCs/>
          <w:color w:val="2D2D2D"/>
          <w:sz w:val="22"/>
          <w:szCs w:val="22"/>
        </w:rPr>
        <w:t xml:space="preserve"> —9 </w:t>
      </w:r>
      <w:proofErr w:type="spellStart"/>
      <w:r w:rsidRPr="000741FC">
        <w:rPr>
          <w:rFonts w:ascii="Arial" w:hAnsi="Arial" w:cs="Arial"/>
          <w:i/>
          <w:iCs/>
          <w:color w:val="2D2D2D"/>
          <w:sz w:val="22"/>
          <w:szCs w:val="22"/>
        </w:rPr>
        <w:t>octobre</w:t>
      </w:r>
      <w:proofErr w:type="spellEnd"/>
      <w:r w:rsidRPr="000741FC">
        <w:rPr>
          <w:rFonts w:ascii="Arial" w:hAnsi="Arial" w:cs="Arial"/>
          <w:i/>
          <w:iCs/>
          <w:color w:val="2D2D2D"/>
          <w:sz w:val="22"/>
          <w:szCs w:val="22"/>
        </w:rPr>
        <w:t> 2024 —</w:t>
      </w:r>
      <w:r w:rsidRPr="000741FC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E04414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  <w:r w:rsidRPr="00E04414">
          <w:rPr>
            <w:rStyle w:val="Hyperlink"/>
            <w:rFonts w:ascii="Arial" w:hAnsi="Arial" w:cs="Arial"/>
            <w:sz w:val="22"/>
            <w:szCs w:val="22"/>
          </w:rPr>
          <w:t> </w:t>
        </w:r>
      </w:hyperlink>
      <w:r w:rsidRPr="000741FC">
        <w:rPr>
          <w:rFonts w:ascii="Arial" w:hAnsi="Arial" w:cs="Arial"/>
          <w:color w:val="2D2D2D"/>
          <w:sz w:val="22"/>
          <w:szCs w:val="22"/>
        </w:rPr>
        <w:t xml:space="preserve">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annoncé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 sortie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sa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nouvelle </w:t>
      </w:r>
      <w:hyperlink r:id="rId8" w:history="1">
        <w:r w:rsidRPr="000741FC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 xml:space="preserve">solution de </w:t>
        </w:r>
        <w:proofErr w:type="spellStart"/>
        <w:r w:rsidRPr="000741FC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guidage</w:t>
        </w:r>
        <w:proofErr w:type="spellEnd"/>
        <w:r w:rsidRPr="000741FC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 xml:space="preserve"> Value Line</w:t>
        </w:r>
      </w:hyperlink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conçue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spécialement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utilisant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tracteurs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milieu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gamme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des exploitations de petite et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moyenne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taille.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Cette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nouvelle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offre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un pas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avant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important pour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rendre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l'autoguidage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généralement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utilisée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des machines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grandes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accessible à un plus grand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nombre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</w:t>
      </w:r>
    </w:p>
    <w:p w14:paraId="616B2F93" w14:textId="4B47F05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> </w:t>
      </w:r>
    </w:p>
    <w:p w14:paraId="680CFCEE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« Chez Topcon Agriculture, nous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sommes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engagés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faveur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démocratisation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C'est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 raison </w:t>
      </w:r>
      <w:proofErr w:type="gramStart"/>
      <w:r w:rsidRPr="000741FC">
        <w:rPr>
          <w:rFonts w:ascii="Arial" w:hAnsi="Arial" w:cs="Arial"/>
          <w:color w:val="2D2D2D"/>
          <w:sz w:val="22"/>
          <w:szCs w:val="22"/>
        </w:rPr>
        <w:t>pour</w:t>
      </w:r>
      <w:proofErr w:type="gram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laquelle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nous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mettons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l'agriculture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précision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la disposition d'un plus grand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nombre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dans le monde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entier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 », 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déclaré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, vice-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président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exécutif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directeur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général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Topcon Agriculture.  </w:t>
      </w:r>
    </w:p>
    <w:p w14:paraId="27BDA793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5503131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« Avec Value Line, nous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offrons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aux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qui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possèdent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machines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anciennes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plus petites,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ainsi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qu'aux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petites exploitations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spécialisées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possibilité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revaloriser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machines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grâce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système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d'autoguidage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basé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notre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éprouvée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pointe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utilisée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depuis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décennies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des machines de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grande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taille. Il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s'agit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d'un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système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intégré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conçu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fonctionner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façon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harmonieuse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avec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large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sélection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tracteurs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Il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prend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notamment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charge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fonctionnalité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ISOBUS-UT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afin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d'offrir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compatibilité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universelle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grande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facilité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d'utilisation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Notre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objectif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fournir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haute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qualité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fiable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abordable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à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valeur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ajoutée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qui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fonctionne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avec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large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gamme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d'applications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de machines et de marques,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accord avec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notre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philosophie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d'être 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partenaire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soutenir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choix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marques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indépendantes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»</w:t>
      </w:r>
    </w:p>
    <w:p w14:paraId="73EDE89E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07C12E0" w14:textId="4C96468A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La solution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Value Line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un ensemble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complet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qui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comprend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récepteur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GNSS (Global Navigation Satellite System), un volant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électrique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console à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écran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tactile et 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logiciel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Horizon Lite, compatible avec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tracteurs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roues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avant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directrices.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peuvent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outre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ajouter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services de correction locale, par satellite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RTK,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tels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que 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logiciel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Topcon </w:t>
      </w:r>
      <w:proofErr w:type="spellStart"/>
      <w:r w:rsidR="00E04414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begin"/>
      </w:r>
      <w:r w:rsidR="00E04414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instrText>HYPERLINK "https://www.topconpositioning.com/fr/fr/solutions/technology/infrastructure-software-and-services/topnet-live-corrections"</w:instrText>
      </w:r>
      <w:r w:rsidR="00E04414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</w:r>
      <w:r w:rsidR="00E04414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separate"/>
      </w:r>
      <w:r w:rsidRPr="00E04414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E04414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Pr="00E04414">
        <w:rPr>
          <w:rStyle w:val="Hyperlink"/>
          <w:rFonts w:ascii="Arial" w:hAnsi="Arial" w:cs="Arial"/>
          <w:sz w:val="22"/>
          <w:szCs w:val="22"/>
        </w:rPr>
        <w:t> </w:t>
      </w:r>
      <w:proofErr w:type="spellStart"/>
      <w:r w:rsidR="00E04414">
        <w:rPr>
          <w:rFonts w:ascii="Arial" w:eastAsiaTheme="majorEastAsia" w:hAnsi="Arial" w:cs="Arial"/>
          <w:color w:val="2D2D2D"/>
          <w:sz w:val="22"/>
          <w:szCs w:val="22"/>
          <w:bdr w:val="none" w:sz="0" w:space="0" w:color="auto" w:frame="1"/>
        </w:rPr>
        <w:fldChar w:fldCharType="end"/>
      </w:r>
      <w:r w:rsidRPr="000741FC">
        <w:rPr>
          <w:rFonts w:ascii="Arial" w:hAnsi="Arial" w:cs="Arial"/>
          <w:color w:val="2D2D2D"/>
          <w:sz w:val="22"/>
          <w:szCs w:val="22"/>
        </w:rPr>
        <w:t>afin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gagner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précision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fonction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besoins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spécifiques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 </w:t>
      </w:r>
    </w:p>
    <w:p w14:paraId="29189F10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32ECC855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L'autoguidage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permet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utilisation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efficace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ressources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qui se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traduit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par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réduction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coûts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d'intrants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semences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engrais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le carburant. Non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seulement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résultats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exploitations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agricoles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s'en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trouvent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améliorés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mais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cela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contribue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également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l'adoption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pratiques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agricoles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plus durables. Une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grande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précision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dans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opérations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le terrain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peut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également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conduire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rendements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cultures plus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élevés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améliorant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encore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rentabilité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</w:t>
      </w:r>
    </w:p>
    <w:p w14:paraId="41AE2149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0CE3E1F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Cette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offre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perspectives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d'amélioration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significatives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tous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horizons,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qu'ils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soient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spécialisés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dans les cultures de base, les cultures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spécialisées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ou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systèmes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agricoles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mixtes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</w:t>
      </w:r>
    </w:p>
    <w:p w14:paraId="39B60742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4331F70D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« 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potentiel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croissance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l'industrie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énorme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et Value Line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représente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nouvelle étape pour Topcon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tant que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partenaire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privilégié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secteur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pleine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évolution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effet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Topcon encourage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l'adoption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la collaboration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efficace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à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auprès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des OEM (fabricants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d'équipements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d'origine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) et des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agriculteurs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 », 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déclaré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M.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</w:t>
      </w:r>
    </w:p>
    <w:p w14:paraId="3E512E93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EDF9067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« Forte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plusieurs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décennies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d'expérience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notre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entreprise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acteur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mondial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technologie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précision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Présentes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sur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plusieurs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continents,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équipes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expertes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ingénierie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R&amp;D et fabrication. Nous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disposons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également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d'un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vaste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réseau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concessionnaires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pour la vente et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l'assistance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. Les consoles,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volants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récepteurs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fournis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par les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usines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Topcon du monde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entier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situées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notamment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Allemagne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Italie et aux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États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-Unis, et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sont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conçus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dans un souci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qualité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>. »  </w:t>
      </w:r>
    </w:p>
    <w:p w14:paraId="4FBEBB05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1B3A1BA" w14:textId="2F25C233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0741FC">
        <w:rPr>
          <w:rFonts w:ascii="Arial" w:hAnsi="Arial" w:cs="Arial"/>
          <w:color w:val="2D2D2D"/>
          <w:sz w:val="22"/>
          <w:szCs w:val="22"/>
        </w:rPr>
        <w:t xml:space="preserve">La solution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Value Line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est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désormais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disponible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auprès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du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réseau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mondial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concessionnaires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agréés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Topcon Agriculture. Pour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en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savoir plus sur la solution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d'autoguidage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et sur la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gamme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complète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technologies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d'agriculture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précision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de Topcon Agriculture, </w:t>
      </w:r>
      <w:proofErr w:type="spellStart"/>
      <w:r w:rsidRPr="000741FC">
        <w:rPr>
          <w:rFonts w:ascii="Arial" w:hAnsi="Arial" w:cs="Arial"/>
          <w:color w:val="2D2D2D"/>
          <w:sz w:val="22"/>
          <w:szCs w:val="22"/>
        </w:rPr>
        <w:t>consultez</w:t>
      </w:r>
      <w:proofErr w:type="spellEnd"/>
      <w:r w:rsidRPr="000741FC">
        <w:rPr>
          <w:rFonts w:ascii="Arial" w:hAnsi="Arial" w:cs="Arial"/>
          <w:color w:val="2D2D2D"/>
          <w:sz w:val="22"/>
          <w:szCs w:val="22"/>
        </w:rPr>
        <w:t xml:space="preserve"> la page </w:t>
      </w:r>
      <w:hyperlink r:id="rId9" w:history="1">
        <w:r w:rsidRPr="000741FC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topconpositioning.com/value-line</w:t>
        </w:r>
      </w:hyperlink>
      <w:r w:rsidRPr="000741FC">
        <w:rPr>
          <w:rFonts w:ascii="Arial" w:hAnsi="Arial" w:cs="Arial"/>
          <w:color w:val="2D2D2D"/>
          <w:sz w:val="22"/>
          <w:szCs w:val="22"/>
        </w:rPr>
        <w:t>. </w:t>
      </w:r>
    </w:p>
    <w:p w14:paraId="48197EE7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09876BF1" w14:textId="77777777" w:rsidR="00E93F31" w:rsidRDefault="00E93F31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06697F7A" w14:textId="77777777" w:rsidR="00E93F31" w:rsidRDefault="00E93F31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33501C09" w14:textId="2B44B892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r w:rsidRPr="000741FC">
        <w:rPr>
          <w:rFonts w:ascii="Arial" w:hAnsi="Arial" w:cs="Arial"/>
          <w:b/>
          <w:bCs/>
          <w:color w:val="2D2D2D"/>
          <w:sz w:val="18"/>
          <w:szCs w:val="18"/>
        </w:rPr>
        <w:t xml:space="preserve">À </w:t>
      </w:r>
      <w:proofErr w:type="spellStart"/>
      <w:r w:rsidRPr="000741FC">
        <w:rPr>
          <w:rFonts w:ascii="Arial" w:hAnsi="Arial" w:cs="Arial"/>
          <w:b/>
          <w:bCs/>
          <w:color w:val="2D2D2D"/>
          <w:sz w:val="18"/>
          <w:szCs w:val="18"/>
        </w:rPr>
        <w:t>propos</w:t>
      </w:r>
      <w:proofErr w:type="spellEnd"/>
      <w:r w:rsidRPr="000741FC">
        <w:rPr>
          <w:rFonts w:ascii="Arial" w:hAnsi="Arial" w:cs="Arial"/>
          <w:b/>
          <w:bCs/>
          <w:color w:val="2D2D2D"/>
          <w:sz w:val="18"/>
          <w:szCs w:val="18"/>
        </w:rPr>
        <w:t xml:space="preserve"> de Topcon Positioning Systems  </w:t>
      </w:r>
      <w:r w:rsidRPr="000741FC">
        <w:rPr>
          <w:rFonts w:ascii="Arial" w:hAnsi="Arial" w:cs="Arial"/>
          <w:color w:val="2D2D2D"/>
          <w:sz w:val="18"/>
          <w:szCs w:val="18"/>
        </w:rPr>
        <w:br/>
        <w:t xml:space="preserve">Topcon Positioning Systems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est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un leader de la conception, de la fabrication et de la distribution de solutions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mesure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précision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et de flux de travail </w:t>
      </w:r>
      <w:proofErr w:type="gramStart"/>
      <w:r w:rsidRPr="000741FC">
        <w:rPr>
          <w:rFonts w:ascii="Arial" w:hAnsi="Arial" w:cs="Arial"/>
          <w:color w:val="2D2D2D"/>
          <w:sz w:val="18"/>
          <w:szCs w:val="18"/>
        </w:rPr>
        <w:t>pour</w:t>
      </w:r>
      <w:proofErr w:type="gramEnd"/>
      <w:r w:rsidRPr="000741FC">
        <w:rPr>
          <w:rFonts w:ascii="Arial" w:hAnsi="Arial" w:cs="Arial"/>
          <w:color w:val="2D2D2D"/>
          <w:sz w:val="18"/>
          <w:szCs w:val="18"/>
        </w:rPr>
        <w:t xml:space="preserve"> les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marchés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mondiaux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de la construction, du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géopositionnement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et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l'agriculture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. Le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siège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de Topcon Positioning Systems se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trouve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à Livermore,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Californie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, aux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États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>-Unis</w:t>
      </w:r>
      <w:r w:rsidRPr="000741FC">
        <w:rPr>
          <w:rFonts w:ascii="Arial" w:hAnsi="Arial" w:cs="Arial"/>
          <w:color w:val="2D2D2D"/>
          <w:sz w:val="18"/>
          <w:szCs w:val="18"/>
        </w:rPr>
        <w:br/>
        <w:t>(</w:t>
      </w:r>
      <w:hyperlink r:id="rId10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 xml:space="preserve">). Son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siège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européen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se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trouve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à Zoetermeer, aux Pays-Bas. Topcon Corporation (topcon.com),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fondée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en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1932,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est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cotée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à la Bourse de Tokyo (7732). Topcon Agriculture : (</w:t>
      </w:r>
      <w:hyperlink r:id="rId15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6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7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, </w:t>
      </w:r>
      <w:hyperlink r:id="rId18" w:tgtFrame="_blank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)</w:t>
      </w:r>
    </w:p>
    <w:p w14:paraId="6423D7A5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23505957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0741FC">
        <w:rPr>
          <w:rFonts w:ascii="Arial" w:hAnsi="Arial" w:cs="Arial"/>
          <w:color w:val="2D2D2D"/>
          <w:sz w:val="18"/>
          <w:szCs w:val="18"/>
        </w:rPr>
        <w:t># # #</w:t>
      </w:r>
    </w:p>
    <w:p w14:paraId="0ADB1C53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5C8030CD" w14:textId="4E14B11A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r w:rsidRPr="000741FC">
        <w:rPr>
          <w:rFonts w:ascii="Arial" w:hAnsi="Arial" w:cs="Arial"/>
          <w:b/>
          <w:bCs/>
          <w:color w:val="2D2D2D"/>
          <w:sz w:val="18"/>
          <w:szCs w:val="18"/>
        </w:rPr>
        <w:t xml:space="preserve">Contact </w:t>
      </w:r>
      <w:proofErr w:type="spellStart"/>
      <w:proofErr w:type="gramStart"/>
      <w:r w:rsidRPr="000741FC">
        <w:rPr>
          <w:rFonts w:ascii="Arial" w:hAnsi="Arial" w:cs="Arial"/>
          <w:b/>
          <w:bCs/>
          <w:color w:val="2D2D2D"/>
          <w:sz w:val="18"/>
          <w:szCs w:val="18"/>
        </w:rPr>
        <w:t>presse</w:t>
      </w:r>
      <w:proofErr w:type="spellEnd"/>
      <w:r w:rsidRPr="000741FC">
        <w:rPr>
          <w:rFonts w:ascii="Arial" w:hAnsi="Arial" w:cs="Arial"/>
          <w:b/>
          <w:bCs/>
          <w:color w:val="2D2D2D"/>
          <w:sz w:val="18"/>
          <w:szCs w:val="18"/>
        </w:rPr>
        <w:t> :</w:t>
      </w:r>
      <w:proofErr w:type="gramEnd"/>
      <w:r w:rsidRPr="000741FC">
        <w:rPr>
          <w:rFonts w:ascii="Arial" w:hAnsi="Arial" w:cs="Arial"/>
          <w:color w:val="2D2D2D"/>
          <w:sz w:val="18"/>
          <w:szCs w:val="18"/>
        </w:rPr>
        <w:t> </w:t>
      </w:r>
      <w:r w:rsidRPr="000741FC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0741FC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0741FC">
        <w:rPr>
          <w:rFonts w:ascii="Arial" w:hAnsi="Arial" w:cs="Arial"/>
          <w:color w:val="2D2D2D"/>
          <w:sz w:val="18"/>
          <w:szCs w:val="18"/>
        </w:rPr>
        <w:br/>
      </w:r>
      <w:hyperlink r:id="rId19" w:history="1">
        <w:r w:rsidRPr="000741F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corpcomm@topcon.com</w:t>
        </w:r>
      </w:hyperlink>
      <w:r w:rsidRPr="000741FC">
        <w:rPr>
          <w:rFonts w:ascii="Arial" w:hAnsi="Arial" w:cs="Arial"/>
          <w:color w:val="2D2D2D"/>
          <w:sz w:val="18"/>
          <w:szCs w:val="18"/>
        </w:rPr>
        <w:t> </w:t>
      </w:r>
      <w:r w:rsidRPr="000741FC">
        <w:rPr>
          <w:rFonts w:ascii="Arial" w:hAnsi="Arial" w:cs="Arial"/>
          <w:color w:val="2D2D2D"/>
          <w:sz w:val="18"/>
          <w:szCs w:val="18"/>
        </w:rPr>
        <w:br/>
        <w:t>+1 925-245-8610</w:t>
      </w:r>
    </w:p>
    <w:p w14:paraId="2F2EBE43" w14:textId="77777777" w:rsid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267B0C4D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3CDD0C47" w14:textId="77777777" w:rsidR="000741FC" w:rsidRPr="000741FC" w:rsidRDefault="000741FC" w:rsidP="000741F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r w:rsidRPr="000741FC">
        <w:rPr>
          <w:rFonts w:ascii="Arial" w:hAnsi="Arial" w:cs="Arial"/>
          <w:b/>
          <w:bCs/>
          <w:color w:val="2D2D2D"/>
          <w:sz w:val="18"/>
          <w:szCs w:val="18"/>
        </w:rPr>
        <w:t xml:space="preserve">Description </w:t>
      </w:r>
      <w:proofErr w:type="gramStart"/>
      <w:r w:rsidRPr="000741FC">
        <w:rPr>
          <w:rFonts w:ascii="Arial" w:hAnsi="Arial" w:cs="Arial"/>
          <w:b/>
          <w:bCs/>
          <w:color w:val="2D2D2D"/>
          <w:sz w:val="18"/>
          <w:szCs w:val="18"/>
        </w:rPr>
        <w:t>photo :</w:t>
      </w:r>
      <w:proofErr w:type="gramEnd"/>
      <w:r w:rsidRPr="000741FC">
        <w:rPr>
          <w:rFonts w:ascii="Arial" w:hAnsi="Arial" w:cs="Arial"/>
          <w:color w:val="2D2D2D"/>
          <w:sz w:val="18"/>
          <w:szCs w:val="18"/>
        </w:rPr>
        <w:t>   </w:t>
      </w:r>
      <w:r w:rsidRPr="000741FC">
        <w:rPr>
          <w:rFonts w:ascii="Arial" w:hAnsi="Arial" w:cs="Arial"/>
          <w:color w:val="2D2D2D"/>
          <w:sz w:val="18"/>
          <w:szCs w:val="18"/>
        </w:rPr>
        <w:br/>
        <w:t xml:space="preserve">Topcon a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annoncé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la sortie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sa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nouvelle solution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guidage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Value Line. (</w:t>
      </w:r>
      <w:proofErr w:type="gramStart"/>
      <w:r w:rsidRPr="000741FC">
        <w:rPr>
          <w:rFonts w:ascii="Arial" w:hAnsi="Arial" w:cs="Arial"/>
          <w:color w:val="2D2D2D"/>
          <w:sz w:val="18"/>
          <w:szCs w:val="18"/>
        </w:rPr>
        <w:t>Remarque :</w:t>
      </w:r>
      <w:proofErr w:type="gramEnd"/>
      <w:r w:rsidRPr="000741FC">
        <w:rPr>
          <w:rFonts w:ascii="Arial" w:hAnsi="Arial" w:cs="Arial"/>
          <w:color w:val="2D2D2D"/>
          <w:sz w:val="18"/>
          <w:szCs w:val="18"/>
        </w:rPr>
        <w:t xml:space="preserve"> La taille de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l'écran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de la console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peut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 xml:space="preserve"> varier d'un pays à </w:t>
      </w:r>
      <w:proofErr w:type="spellStart"/>
      <w:r w:rsidRPr="000741FC">
        <w:rPr>
          <w:rFonts w:ascii="Arial" w:hAnsi="Arial" w:cs="Arial"/>
          <w:color w:val="2D2D2D"/>
          <w:sz w:val="18"/>
          <w:szCs w:val="18"/>
        </w:rPr>
        <w:t>l'autre</w:t>
      </w:r>
      <w:proofErr w:type="spellEnd"/>
      <w:r w:rsidRPr="000741FC">
        <w:rPr>
          <w:rFonts w:ascii="Arial" w:hAnsi="Arial" w:cs="Arial"/>
          <w:color w:val="2D2D2D"/>
          <w:sz w:val="18"/>
          <w:szCs w:val="18"/>
        </w:rPr>
        <w:t>).</w:t>
      </w:r>
    </w:p>
    <w:p w14:paraId="7E8964C7" w14:textId="77777777" w:rsidR="000741FC" w:rsidRPr="000741FC" w:rsidRDefault="000741FC" w:rsidP="000741FC">
      <w:pPr>
        <w:rPr>
          <w:rFonts w:ascii="Arial" w:hAnsi="Arial" w:cs="Arial"/>
          <w:sz w:val="18"/>
          <w:szCs w:val="18"/>
        </w:rPr>
      </w:pPr>
    </w:p>
    <w:sectPr w:rsidR="000741FC" w:rsidRPr="000741FC" w:rsidSect="000741F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DCF0F" w14:textId="77777777" w:rsidR="006E285F" w:rsidRDefault="006E285F" w:rsidP="000C73C1">
      <w:pPr>
        <w:spacing w:after="0" w:line="240" w:lineRule="auto"/>
      </w:pPr>
      <w:r>
        <w:separator/>
      </w:r>
    </w:p>
  </w:endnote>
  <w:endnote w:type="continuationSeparator" w:id="0">
    <w:p w14:paraId="654E4E95" w14:textId="77777777" w:rsidR="006E285F" w:rsidRDefault="006E285F" w:rsidP="000C73C1">
      <w:pPr>
        <w:spacing w:after="0" w:line="240" w:lineRule="auto"/>
      </w:pPr>
      <w:r>
        <w:continuationSeparator/>
      </w:r>
    </w:p>
  </w:endnote>
  <w:endnote w:type="continuationNotice" w:id="1">
    <w:p w14:paraId="40E5B726" w14:textId="77777777" w:rsidR="006E285F" w:rsidRDefault="006E28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0B5C7" w14:textId="77777777" w:rsidR="006E285F" w:rsidRDefault="006E285F" w:rsidP="000C73C1">
      <w:pPr>
        <w:spacing w:after="0" w:line="240" w:lineRule="auto"/>
      </w:pPr>
      <w:r>
        <w:separator/>
      </w:r>
    </w:p>
  </w:footnote>
  <w:footnote w:type="continuationSeparator" w:id="0">
    <w:p w14:paraId="48EBC568" w14:textId="77777777" w:rsidR="006E285F" w:rsidRDefault="006E285F" w:rsidP="000C73C1">
      <w:pPr>
        <w:spacing w:after="0" w:line="240" w:lineRule="auto"/>
      </w:pPr>
      <w:r>
        <w:continuationSeparator/>
      </w:r>
    </w:p>
  </w:footnote>
  <w:footnote w:type="continuationNotice" w:id="1">
    <w:p w14:paraId="7BBDABB2" w14:textId="77777777" w:rsidR="006E285F" w:rsidRDefault="006E28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741FC"/>
    <w:rsid w:val="0008491B"/>
    <w:rsid w:val="00084AC9"/>
    <w:rsid w:val="000A047A"/>
    <w:rsid w:val="000A4507"/>
    <w:rsid w:val="000B06AF"/>
    <w:rsid w:val="000B6C9E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808E8"/>
    <w:rsid w:val="00383801"/>
    <w:rsid w:val="00384EBA"/>
    <w:rsid w:val="003A44E3"/>
    <w:rsid w:val="003B15F6"/>
    <w:rsid w:val="003C06D8"/>
    <w:rsid w:val="003C48CF"/>
    <w:rsid w:val="003E6245"/>
    <w:rsid w:val="003E733E"/>
    <w:rsid w:val="003F4FBF"/>
    <w:rsid w:val="003F734C"/>
    <w:rsid w:val="00403FAC"/>
    <w:rsid w:val="00411EF0"/>
    <w:rsid w:val="00422DF9"/>
    <w:rsid w:val="0043172B"/>
    <w:rsid w:val="00432C33"/>
    <w:rsid w:val="00435D20"/>
    <w:rsid w:val="00440087"/>
    <w:rsid w:val="00441570"/>
    <w:rsid w:val="00444FBA"/>
    <w:rsid w:val="00460B51"/>
    <w:rsid w:val="004B343A"/>
    <w:rsid w:val="004B483A"/>
    <w:rsid w:val="004B500E"/>
    <w:rsid w:val="004B5AE8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27F63"/>
    <w:rsid w:val="00634CF5"/>
    <w:rsid w:val="0065594D"/>
    <w:rsid w:val="00665588"/>
    <w:rsid w:val="00674581"/>
    <w:rsid w:val="0069CADD"/>
    <w:rsid w:val="006B4208"/>
    <w:rsid w:val="006C1B7E"/>
    <w:rsid w:val="006E285F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7692"/>
    <w:rsid w:val="00820FB6"/>
    <w:rsid w:val="00830A2E"/>
    <w:rsid w:val="00831FCE"/>
    <w:rsid w:val="00842CB2"/>
    <w:rsid w:val="00855689"/>
    <w:rsid w:val="00857EC1"/>
    <w:rsid w:val="00872993"/>
    <w:rsid w:val="00873936"/>
    <w:rsid w:val="00885FFD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C71AE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B5BFC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B2EC3"/>
    <w:rsid w:val="00BC0806"/>
    <w:rsid w:val="00BE0DA8"/>
    <w:rsid w:val="00BE30CC"/>
    <w:rsid w:val="00BF68A9"/>
    <w:rsid w:val="00BF6BF7"/>
    <w:rsid w:val="00C003E1"/>
    <w:rsid w:val="00C333AB"/>
    <w:rsid w:val="00C85EDD"/>
    <w:rsid w:val="00CA17A1"/>
    <w:rsid w:val="00CA7328"/>
    <w:rsid w:val="00CC2D43"/>
    <w:rsid w:val="00CE2576"/>
    <w:rsid w:val="00CE65A5"/>
    <w:rsid w:val="00D13F4E"/>
    <w:rsid w:val="00D17B32"/>
    <w:rsid w:val="00D411F0"/>
    <w:rsid w:val="00D4201C"/>
    <w:rsid w:val="00D67149"/>
    <w:rsid w:val="00D8576C"/>
    <w:rsid w:val="00D950B2"/>
    <w:rsid w:val="00DB4B76"/>
    <w:rsid w:val="00DB6E2D"/>
    <w:rsid w:val="00DC0C0D"/>
    <w:rsid w:val="00DD6D5F"/>
    <w:rsid w:val="00DD7E17"/>
    <w:rsid w:val="00E01573"/>
    <w:rsid w:val="00E01DC3"/>
    <w:rsid w:val="00E04414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3F31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74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8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42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3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fr/fr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www.instagram.com/topconag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www.topconpositioning.com/fr/fr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3" Type="http://schemas.openxmlformats.org/officeDocument/2006/relationships/footer" Target="footer2.xml"/><Relationship Id="rId28" Type="http://schemas.microsoft.com/office/2020/10/relationships/intelligence" Target="intelligence2.xml"/><Relationship Id="rId10" Type="http://schemas.openxmlformats.org/officeDocument/2006/relationships/hyperlink" Target="http://topconpositioning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fr/fr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965</Words>
  <Characters>6018</Characters>
  <Application>Microsoft Office Word</Application>
  <DocSecurity>0</DocSecurity>
  <Lines>102</Lines>
  <Paragraphs>28</Paragraphs>
  <ScaleCrop>false</ScaleCrop>
  <Company/>
  <LinksUpToDate>false</LinksUpToDate>
  <CharactersWithSpaces>6955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4</cp:revision>
  <dcterms:created xsi:type="dcterms:W3CDTF">2024-10-08T18:39:00Z</dcterms:created>
  <dcterms:modified xsi:type="dcterms:W3CDTF">2024-10-08T22:28:00Z</dcterms:modified>
</cp:coreProperties>
</file>