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BF4E" w14:textId="77777777" w:rsidR="006D5D30" w:rsidRDefault="006D5D30" w:rsidP="00BA4B5C">
      <w:pPr>
        <w:jc w:val="center"/>
        <w:rPr>
          <w:b/>
          <w:bCs/>
          <w:color w:val="007DC5"/>
          <w:sz w:val="28"/>
          <w:szCs w:val="28"/>
        </w:rPr>
      </w:pPr>
    </w:p>
    <w:p w14:paraId="5464341D" w14:textId="19561613" w:rsidR="004E04FF" w:rsidRPr="004E04FF" w:rsidRDefault="004E04FF" w:rsidP="004E04FF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lanceert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de Value Line Steering-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oplossing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: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betaalbare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precisietechnologie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voor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het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kleinere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7DC5"/>
          <w:sz w:val="28"/>
          <w:szCs w:val="28"/>
        </w:rPr>
        <w:br/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en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middelgrote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boerenbedrijf</w:t>
      </w:r>
      <w:proofErr w:type="spellEnd"/>
    </w:p>
    <w:p w14:paraId="5B9F5E1D" w14:textId="53FFE321" w:rsidR="000C73C1" w:rsidRPr="004E04FF" w:rsidRDefault="004E04FF" w:rsidP="000C73C1">
      <w:pPr>
        <w:jc w:val="center"/>
        <w:rPr>
          <w:rFonts w:ascii="Arial" w:hAnsi="Arial" w:cs="Arial"/>
          <w:i/>
          <w:iCs/>
        </w:rPr>
      </w:pPr>
      <w:proofErr w:type="spellStart"/>
      <w:r w:rsidRPr="004E04FF">
        <w:rPr>
          <w:rFonts w:ascii="Arial" w:hAnsi="Arial" w:cs="Arial"/>
          <w:i/>
          <w:iCs/>
        </w:rPr>
        <w:t>Nieuw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systeem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voor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automatische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besturing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democratiseert</w:t>
      </w:r>
      <w:proofErr w:type="spellEnd"/>
      <w:r w:rsidRPr="004E04FF">
        <w:rPr>
          <w:rFonts w:ascii="Arial" w:hAnsi="Arial" w:cs="Arial"/>
          <w:i/>
          <w:iCs/>
        </w:rPr>
        <w:t xml:space="preserve"> de </w:t>
      </w:r>
      <w:proofErr w:type="spellStart"/>
      <w:r w:rsidRPr="004E04FF">
        <w:rPr>
          <w:rFonts w:ascii="Arial" w:hAnsi="Arial" w:cs="Arial"/>
          <w:i/>
          <w:iCs/>
        </w:rPr>
        <w:t>toegang</w:t>
      </w:r>
      <w:proofErr w:type="spellEnd"/>
      <w:r w:rsidRPr="004E04FF">
        <w:rPr>
          <w:rFonts w:ascii="Arial" w:hAnsi="Arial" w:cs="Arial"/>
          <w:i/>
          <w:iCs/>
        </w:rPr>
        <w:t xml:space="preserve"> tot </w:t>
      </w:r>
      <w:proofErr w:type="spellStart"/>
      <w:r w:rsidRPr="004E04FF">
        <w:rPr>
          <w:rFonts w:ascii="Arial" w:hAnsi="Arial" w:cs="Arial"/>
          <w:i/>
          <w:iCs/>
        </w:rPr>
        <w:t>geavanceerde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landbouwtechnologie</w:t>
      </w:r>
      <w:proofErr w:type="spellEnd"/>
    </w:p>
    <w:p w14:paraId="72E6BCB8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BFAE6D3" w14:textId="49063166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Calif. — 9 </w:t>
      </w:r>
      <w:proofErr w:type="spellStart"/>
      <w:r w:rsidRPr="004E04FF">
        <w:rPr>
          <w:rFonts w:ascii="Arial" w:hAnsi="Arial" w:cs="Arial"/>
          <w:i/>
          <w:iCs/>
          <w:color w:val="2D2D2D"/>
          <w:sz w:val="22"/>
          <w:szCs w:val="22"/>
        </w:rPr>
        <w:t>oktober</w:t>
      </w:r>
      <w:proofErr w:type="spellEnd"/>
      <w:r w:rsidRPr="004E04FF">
        <w:rPr>
          <w:rFonts w:ascii="Arial" w:hAnsi="Arial" w:cs="Arial"/>
          <w:i/>
          <w:iCs/>
          <w:color w:val="2D2D2D"/>
          <w:sz w:val="22"/>
          <w:szCs w:val="22"/>
        </w:rPr>
        <w:t xml:space="preserve"> 2024 —</w:t>
      </w:r>
      <w:r w:rsidRPr="004E04FF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4E04FF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</w:hyperlink>
      <w:r w:rsidRPr="004E04FF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heeft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release van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nieuwe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4E04FF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Value Line Steering</w:t>
        </w:r>
      </w:hyperlink>
      <w:r w:rsidRPr="004E04FF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aangekondigd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die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specifiek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uit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middensegment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gebruiken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kleine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tot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middelgrote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nieuwe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product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zet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belangrijke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stap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toegankelijk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maken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besturingstechnologie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bredere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groep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wordt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doorgaans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alleen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grotere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gebruikt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  </w:t>
      </w:r>
    </w:p>
    <w:p w14:paraId="29B0DFEE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375F9C2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Topcon Agriculture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streven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we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naar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beschikbaar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maken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— we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willen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precisielandbouwtechnologie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handen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geven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,"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aldus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executive vice president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general manager van Topcon Agriculture.  </w:t>
      </w:r>
    </w:p>
    <w:p w14:paraId="5FB013B4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FFB376E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t xml:space="preserve">"Met Value Line Steering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creëren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we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kansen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oudere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of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kleinere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machines, of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kleinschalige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gespecialiseerde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Zij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kunnen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nu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waarde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verhogen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systemen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gebaseerd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onze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beproefde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premium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oplossingen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die al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tientallen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jaren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vele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wordt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toegepast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Het is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geïntegreerd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systeem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dat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om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naadloos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variëteit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overeenstemt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de ISOBIS-UT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functionaliteit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universele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compatibiliteit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gebruiksvriendelijkheid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doel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om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hoogwaardige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betrouwbare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betaalbare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bieden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meerwaarde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creëert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werkt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breed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scala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toepassingen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machines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merken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strookt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onze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filosofie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als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partner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landbouwers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onafhankelijke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merkkeuzes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ondersteunen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.”</w:t>
      </w:r>
    </w:p>
    <w:p w14:paraId="32F66F17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38A5A64" w14:textId="0D689A7B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t xml:space="preserve">De Value Line Steering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compleet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pakket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Global Navigation Satellite System (GNSS)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ontvanger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elektrisch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stuurwiel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touchscreenconsole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Horizon </w:t>
      </w:r>
      <w:proofErr w:type="gramStart"/>
      <w:r w:rsidRPr="004E04FF">
        <w:rPr>
          <w:rFonts w:ascii="Arial" w:hAnsi="Arial" w:cs="Arial"/>
          <w:color w:val="2D2D2D"/>
          <w:sz w:val="22"/>
          <w:szCs w:val="22"/>
        </w:rPr>
        <w:t>Lite-software</w:t>
      </w:r>
      <w:proofErr w:type="gram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compatibel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voorwielbesturing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Telers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hebben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optie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om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lokale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-,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satelliet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- of RTK-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correctiediensten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toe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voegen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zoals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="00000000">
        <w:fldChar w:fldCharType="begin"/>
      </w:r>
      <w:r w:rsidR="00000000">
        <w:instrText>HYPERLINK "https://www.topconpositioning.com/nl/nl/solutions/technology/infrastructure-software-and-services/topnet-live-corrections"</w:instrText>
      </w:r>
      <w:r w:rsidR="00000000">
        <w:fldChar w:fldCharType="separate"/>
      </w:r>
      <w:r w:rsidRPr="004E04FF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4E04FF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="00000000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fldChar w:fldCharType="end"/>
      </w:r>
      <w:r w:rsidRPr="004E04FF">
        <w:rPr>
          <w:rFonts w:ascii="Arial" w:hAnsi="Arial" w:cs="Arial"/>
          <w:color w:val="2D2D2D"/>
          <w:sz w:val="22"/>
          <w:szCs w:val="22"/>
        </w:rPr>
        <w:t xml:space="preserve"> van Topcon,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hogere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nauwkeurigheid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basis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eigen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unieke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behoeften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  </w:t>
      </w:r>
    </w:p>
    <w:p w14:paraId="1DF7B284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DBA8998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besturing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maakt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efficiënter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gebruik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middelen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mogelijk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waardoor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kosten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zaden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meststoffen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brandstof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lager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zorgt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niet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alleen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verbetering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bedrijfsrendement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boerderij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maar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draagt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duurzamere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landbouwactiviteiten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grotere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nauwkeurigheid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veldwerkzaamheden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kan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leiden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tot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verbetering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gewasopbrengsten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wat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rendement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verder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verhoogt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</w:t>
      </w:r>
    </w:p>
    <w:p w14:paraId="32AD6E83" w14:textId="77777777" w:rsidR="00D328FD" w:rsidRDefault="00D328FD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83D48D5" w14:textId="6B90F254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uit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diverse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landbouwsectoren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zoals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akkerbouw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specialistische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teelten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gemengde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kunnen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aanzienlijke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voordelen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verwachten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bedrijfsvoering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wanneer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ze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toepassen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</w:t>
      </w:r>
    </w:p>
    <w:p w14:paraId="7CCD0629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2201190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t xml:space="preserve">"Er zit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enorm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veel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groeipotentieel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agrarische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sector,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Value Line Steering is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Topcon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stap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vooruit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om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voorkeurspartner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worden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veranderende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landschap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We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stimuleren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effectieve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samenwerking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OEM's (original equipment manufacturers)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boer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,"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aldus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</w:t>
      </w:r>
    </w:p>
    <w:p w14:paraId="19C5DC0B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734E704A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lastRenderedPageBreak/>
        <w:t>"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Wij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opererend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bedrijf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tientallen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jaren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ervaring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precisietechnologie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. We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hebben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engineering-, R&amp;D-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productieactiviteiten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meerdere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continenten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in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combinatie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dealernetwerk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verkoop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ondersteuning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 Topcon-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faciliteiten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over de hele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wereld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bijvoorbeeld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Duitsland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Italië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Verenigde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Staten,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leveren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 consoles,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stuurwielen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ontvangers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die met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kwaliteit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in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achterhoofd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.”  </w:t>
      </w:r>
    </w:p>
    <w:p w14:paraId="05BE1435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336C2D1" w14:textId="02004E39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E04FF">
        <w:rPr>
          <w:rFonts w:ascii="Arial" w:hAnsi="Arial" w:cs="Arial"/>
          <w:color w:val="2D2D2D"/>
          <w:sz w:val="22"/>
          <w:szCs w:val="22"/>
        </w:rPr>
        <w:t xml:space="preserve">De Value Line Steering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is nu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verkrijgbaar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via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wereldwijde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netwerk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geautoriseerde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dealers van Topcon Agriculture.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meer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informatie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over de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besturing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volledige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scala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precisielandbouwtechnologieën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van Topcon Agriculture, 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kunt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 xml:space="preserve"> u </w:t>
      </w:r>
      <w:hyperlink r:id="rId9" w:history="1">
        <w:r w:rsidRPr="004E04FF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topconpositioning.com/value-line</w:t>
        </w:r>
      </w:hyperlink>
      <w:r w:rsidRPr="004E04FF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4E04FF">
        <w:rPr>
          <w:rFonts w:ascii="Arial" w:hAnsi="Arial" w:cs="Arial"/>
          <w:color w:val="2D2D2D"/>
          <w:sz w:val="22"/>
          <w:szCs w:val="22"/>
        </w:rPr>
        <w:t>bezoeken</w:t>
      </w:r>
      <w:proofErr w:type="spellEnd"/>
      <w:r w:rsidRPr="004E04FF">
        <w:rPr>
          <w:rFonts w:ascii="Arial" w:hAnsi="Arial" w:cs="Arial"/>
          <w:color w:val="2D2D2D"/>
          <w:sz w:val="22"/>
          <w:szCs w:val="22"/>
        </w:rPr>
        <w:t>. </w:t>
      </w:r>
    </w:p>
    <w:p w14:paraId="46FEE8B7" w14:textId="77777777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</w:rPr>
      </w:pPr>
    </w:p>
    <w:p w14:paraId="18E388F5" w14:textId="77777777" w:rsidR="00866769" w:rsidRPr="004E04FF" w:rsidRDefault="00866769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</w:rPr>
      </w:pPr>
    </w:p>
    <w:p w14:paraId="06DC900A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r w:rsidRPr="004E04FF">
        <w:rPr>
          <w:rFonts w:ascii="Arial" w:hAnsi="Arial" w:cs="Arial"/>
          <w:b/>
          <w:bCs/>
          <w:color w:val="2D2D2D"/>
          <w:sz w:val="18"/>
          <w:szCs w:val="18"/>
        </w:rPr>
        <w:t>Over Topcon Positioning Systems  </w:t>
      </w:r>
      <w:r w:rsidRPr="004E04FF">
        <w:rPr>
          <w:rFonts w:ascii="Arial" w:hAnsi="Arial" w:cs="Arial"/>
          <w:color w:val="2D2D2D"/>
          <w:sz w:val="18"/>
          <w:szCs w:val="18"/>
        </w:rPr>
        <w:br/>
        <w:t xml:space="preserve">Topcon Positioning Systems is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een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toonaangevende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ontwerper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fabrikant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distributeur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precisiemeet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-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workflowoplossingen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voor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wereldwijde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bouw-,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geospatiale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-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landbouwmarkten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. Het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hoofdkantoor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van Topcon Positioning Systems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bevindt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zich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in Livermore,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Californië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>, VS.</w:t>
      </w:r>
      <w:r w:rsidRPr="004E04FF">
        <w:rPr>
          <w:rFonts w:ascii="Arial" w:hAnsi="Arial" w:cs="Arial"/>
          <w:color w:val="2D2D2D"/>
          <w:sz w:val="18"/>
          <w:szCs w:val="18"/>
        </w:rPr>
        <w:br/>
        <w:t>(</w:t>
      </w:r>
      <w:hyperlink r:id="rId10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 xml:space="preserve">). Het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Europese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hoofdkantoor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bevindt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zich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in Zoetermeer, Nederland. Topcon Corporation (topcon.com),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opgericht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in 1932, is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genoteerd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aan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aandelenbeurs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van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Tokio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(7732). Topcon Agriculture: (</w:t>
      </w:r>
      <w:hyperlink r:id="rId15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, </w:t>
      </w:r>
      <w:hyperlink r:id="rId18" w:tgtFrame="_blank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)</w:t>
      </w:r>
    </w:p>
    <w:p w14:paraId="3437FA14" w14:textId="77777777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568E8761" w14:textId="2B8BFB64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4E04FF">
        <w:rPr>
          <w:rFonts w:ascii="Arial" w:hAnsi="Arial" w:cs="Arial"/>
          <w:color w:val="2D2D2D"/>
          <w:sz w:val="18"/>
          <w:szCs w:val="18"/>
        </w:rPr>
        <w:t># # #</w:t>
      </w:r>
    </w:p>
    <w:p w14:paraId="5F356021" w14:textId="77777777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34EC7379" w14:textId="28F1CC3F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r w:rsidRPr="004E04FF">
        <w:rPr>
          <w:rFonts w:ascii="Arial" w:hAnsi="Arial" w:cs="Arial"/>
          <w:b/>
          <w:bCs/>
          <w:color w:val="2D2D2D"/>
          <w:sz w:val="18"/>
          <w:szCs w:val="18"/>
        </w:rPr>
        <w:t>Press Contact:</w:t>
      </w:r>
      <w:r w:rsidRPr="004E04FF">
        <w:rPr>
          <w:rFonts w:ascii="Arial" w:hAnsi="Arial" w:cs="Arial"/>
          <w:color w:val="2D2D2D"/>
          <w:sz w:val="18"/>
          <w:szCs w:val="18"/>
        </w:rPr>
        <w:t> </w:t>
      </w:r>
      <w:r w:rsidRPr="004E04FF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4E04FF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4E04FF">
        <w:rPr>
          <w:rFonts w:ascii="Arial" w:hAnsi="Arial" w:cs="Arial"/>
          <w:color w:val="2D2D2D"/>
          <w:sz w:val="18"/>
          <w:szCs w:val="18"/>
        </w:rPr>
        <w:br/>
      </w:r>
      <w:hyperlink r:id="rId19" w:history="1">
        <w:r w:rsidRPr="004E04FF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corpcomm@topcon.com</w:t>
        </w:r>
      </w:hyperlink>
      <w:r w:rsidRPr="004E04FF">
        <w:rPr>
          <w:rFonts w:ascii="Arial" w:hAnsi="Arial" w:cs="Arial"/>
          <w:color w:val="2D2D2D"/>
          <w:sz w:val="18"/>
          <w:szCs w:val="18"/>
        </w:rPr>
        <w:t> </w:t>
      </w:r>
      <w:r w:rsidRPr="004E04FF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3A085131" w14:textId="77777777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14D94275" w14:textId="77777777" w:rsid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4ED6F620" w14:textId="77777777" w:rsidR="00866769" w:rsidRPr="004E04FF" w:rsidRDefault="00866769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6E16BDA0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4E04FF">
        <w:rPr>
          <w:rFonts w:ascii="Arial" w:hAnsi="Arial" w:cs="Arial"/>
          <w:b/>
          <w:bCs/>
          <w:color w:val="2D2D2D"/>
          <w:sz w:val="18"/>
          <w:szCs w:val="18"/>
        </w:rPr>
        <w:t>Beschrijving</w:t>
      </w:r>
      <w:proofErr w:type="spellEnd"/>
      <w:r w:rsidRPr="004E04FF">
        <w:rPr>
          <w:rFonts w:ascii="Arial" w:hAnsi="Arial" w:cs="Arial"/>
          <w:b/>
          <w:bCs/>
          <w:color w:val="2D2D2D"/>
          <w:sz w:val="18"/>
          <w:szCs w:val="18"/>
        </w:rPr>
        <w:t xml:space="preserve"> van </w:t>
      </w:r>
      <w:proofErr w:type="spellStart"/>
      <w:r w:rsidRPr="004E04FF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4E04FF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4E04FF">
        <w:rPr>
          <w:rFonts w:ascii="Arial" w:hAnsi="Arial" w:cs="Arial"/>
          <w:color w:val="2D2D2D"/>
          <w:sz w:val="18"/>
          <w:szCs w:val="18"/>
        </w:rPr>
        <w:t>   </w:t>
      </w:r>
      <w:r w:rsidRPr="004E04FF">
        <w:rPr>
          <w:rFonts w:ascii="Arial" w:hAnsi="Arial" w:cs="Arial"/>
          <w:color w:val="2D2D2D"/>
          <w:sz w:val="18"/>
          <w:szCs w:val="18"/>
        </w:rPr>
        <w:br/>
        <w:t xml:space="preserve">Topcon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heeft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de release van de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nieuwe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Value Line Steering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oplossing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aangekondigd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>. (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Opmerking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: de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grootte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van de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consoledisplay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kan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 xml:space="preserve"> per land </w:t>
      </w:r>
      <w:proofErr w:type="spellStart"/>
      <w:r w:rsidRPr="004E04FF">
        <w:rPr>
          <w:rFonts w:ascii="Arial" w:hAnsi="Arial" w:cs="Arial"/>
          <w:color w:val="2D2D2D"/>
          <w:sz w:val="18"/>
          <w:szCs w:val="18"/>
        </w:rPr>
        <w:t>variëren</w:t>
      </w:r>
      <w:proofErr w:type="spellEnd"/>
      <w:r w:rsidRPr="004E04FF">
        <w:rPr>
          <w:rFonts w:ascii="Arial" w:hAnsi="Arial" w:cs="Arial"/>
          <w:color w:val="2D2D2D"/>
          <w:sz w:val="18"/>
          <w:szCs w:val="18"/>
        </w:rPr>
        <w:t>.)</w:t>
      </w:r>
    </w:p>
    <w:p w14:paraId="537F5680" w14:textId="77777777" w:rsidR="004E04FF" w:rsidRPr="004E04FF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sectPr w:rsidR="004E04FF" w:rsidRPr="004E04FF" w:rsidSect="0027029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21B8" w14:textId="77777777" w:rsidR="0081423F" w:rsidRDefault="0081423F" w:rsidP="000C73C1">
      <w:pPr>
        <w:spacing w:after="0" w:line="240" w:lineRule="auto"/>
      </w:pPr>
      <w:r>
        <w:separator/>
      </w:r>
    </w:p>
  </w:endnote>
  <w:endnote w:type="continuationSeparator" w:id="0">
    <w:p w14:paraId="775608C2" w14:textId="77777777" w:rsidR="0081423F" w:rsidRDefault="0081423F" w:rsidP="000C73C1">
      <w:pPr>
        <w:spacing w:after="0" w:line="240" w:lineRule="auto"/>
      </w:pPr>
      <w:r>
        <w:continuationSeparator/>
      </w:r>
    </w:p>
  </w:endnote>
  <w:endnote w:type="continuationNotice" w:id="1">
    <w:p w14:paraId="662DFB5A" w14:textId="77777777" w:rsidR="0081423F" w:rsidRDefault="008142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6030" w14:textId="77777777" w:rsidR="0081423F" w:rsidRDefault="0081423F" w:rsidP="000C73C1">
      <w:pPr>
        <w:spacing w:after="0" w:line="240" w:lineRule="auto"/>
      </w:pPr>
      <w:r>
        <w:separator/>
      </w:r>
    </w:p>
  </w:footnote>
  <w:footnote w:type="continuationSeparator" w:id="0">
    <w:p w14:paraId="718856FE" w14:textId="77777777" w:rsidR="0081423F" w:rsidRDefault="0081423F" w:rsidP="000C73C1">
      <w:pPr>
        <w:spacing w:after="0" w:line="240" w:lineRule="auto"/>
      </w:pPr>
      <w:r>
        <w:continuationSeparator/>
      </w:r>
    </w:p>
  </w:footnote>
  <w:footnote w:type="continuationNotice" w:id="1">
    <w:p w14:paraId="04AFA5DA" w14:textId="77777777" w:rsidR="0081423F" w:rsidRDefault="008142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029B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747C5"/>
    <w:rsid w:val="003808E8"/>
    <w:rsid w:val="00383801"/>
    <w:rsid w:val="00384EBA"/>
    <w:rsid w:val="003A44E3"/>
    <w:rsid w:val="003B15F6"/>
    <w:rsid w:val="003C06D8"/>
    <w:rsid w:val="003C48CF"/>
    <w:rsid w:val="003E6245"/>
    <w:rsid w:val="003F4FBF"/>
    <w:rsid w:val="003F734C"/>
    <w:rsid w:val="00403FAC"/>
    <w:rsid w:val="00411EF0"/>
    <w:rsid w:val="00422DF9"/>
    <w:rsid w:val="0043172B"/>
    <w:rsid w:val="00435D20"/>
    <w:rsid w:val="00440087"/>
    <w:rsid w:val="00441570"/>
    <w:rsid w:val="00444FBA"/>
    <w:rsid w:val="00460B51"/>
    <w:rsid w:val="00475153"/>
    <w:rsid w:val="004B343A"/>
    <w:rsid w:val="004B483A"/>
    <w:rsid w:val="004B500E"/>
    <w:rsid w:val="004B5AE8"/>
    <w:rsid w:val="004E04FF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9CADD"/>
    <w:rsid w:val="006B4208"/>
    <w:rsid w:val="006C1B7E"/>
    <w:rsid w:val="006D5D30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423F"/>
    <w:rsid w:val="00817692"/>
    <w:rsid w:val="00820FB6"/>
    <w:rsid w:val="00830A2E"/>
    <w:rsid w:val="00831FCE"/>
    <w:rsid w:val="00842CB2"/>
    <w:rsid w:val="00855689"/>
    <w:rsid w:val="00857EC1"/>
    <w:rsid w:val="00866769"/>
    <w:rsid w:val="00872993"/>
    <w:rsid w:val="00873936"/>
    <w:rsid w:val="00885FFD"/>
    <w:rsid w:val="00886EEC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A4B5C"/>
    <w:rsid w:val="00BB2EC3"/>
    <w:rsid w:val="00BC0806"/>
    <w:rsid w:val="00BE0DA8"/>
    <w:rsid w:val="00BE30CC"/>
    <w:rsid w:val="00BF68A9"/>
    <w:rsid w:val="00BF6BF7"/>
    <w:rsid w:val="00C003E1"/>
    <w:rsid w:val="00C008AD"/>
    <w:rsid w:val="00C333AB"/>
    <w:rsid w:val="00C85EDD"/>
    <w:rsid w:val="00CA17A1"/>
    <w:rsid w:val="00CA7328"/>
    <w:rsid w:val="00CC2D43"/>
    <w:rsid w:val="00CE2576"/>
    <w:rsid w:val="00CE65A5"/>
    <w:rsid w:val="00D17B32"/>
    <w:rsid w:val="00D328FD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A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2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nl/nl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nl/nl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nl/nl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5621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4</cp:revision>
  <dcterms:created xsi:type="dcterms:W3CDTF">2024-10-08T18:31:00Z</dcterms:created>
  <dcterms:modified xsi:type="dcterms:W3CDTF">2024-10-08T22:26:00Z</dcterms:modified>
</cp:coreProperties>
</file>